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bookmarkStart w:id="0" w:name="_GoBack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0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="00B708A3">
        <w:rPr>
          <w:rFonts w:ascii="Times New Roman" w:eastAsia="Calibri" w:hAnsi="Times New Roman" w:cs="Times New Roman"/>
          <w:b/>
          <w:sz w:val="28"/>
          <w:szCs w:val="28"/>
        </w:rPr>
        <w:t>30</w:t>
      </w:r>
      <w:proofErr w:type="gram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08A3">
        <w:rPr>
          <w:rFonts w:ascii="Times New Roman" w:eastAsia="Calibri" w:hAnsi="Times New Roman" w:cs="Times New Roman"/>
          <w:b/>
          <w:sz w:val="28"/>
          <w:szCs w:val="28"/>
        </w:rPr>
        <w:t xml:space="preserve">декабря 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708A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B708A3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403029" w:rsidRPr="00403029" w:rsidRDefault="00403029" w:rsidP="004030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О  внесении</w:t>
      </w:r>
      <w:proofErr w:type="gram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b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>г. «Об утверждении муниципальной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период 2016-202</w:t>
      </w:r>
      <w:r w:rsidR="00CA4218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01.11.2013г. №55 «Об утверждении порядка принятия решений о разработке муниципальных целевых программ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Тазовского сельсовета 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 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</w:t>
      </w:r>
      <w:r>
        <w:rPr>
          <w:rFonts w:ascii="Times New Roman" w:eastAsia="Calibri" w:hAnsi="Times New Roman" w:cs="Times New Roman"/>
          <w:sz w:val="28"/>
          <w:szCs w:val="28"/>
        </w:rPr>
        <w:t>174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030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403029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г. «Об утверждении муниципальной программы «Энергоснабжение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</w:t>
      </w:r>
      <w:r w:rsidR="00CA4218">
        <w:rPr>
          <w:rFonts w:ascii="Times New Roman" w:eastAsia="Calibri" w:hAnsi="Times New Roman" w:cs="Times New Roman"/>
          <w:sz w:val="28"/>
          <w:szCs w:val="28"/>
        </w:rPr>
        <w:t>3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»</w:t>
      </w:r>
      <w:r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403029" w:rsidRPr="00403029" w:rsidRDefault="00B708A3" w:rsidP="004030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Паспорт муниципальной </w:t>
      </w:r>
      <w:proofErr w:type="gramStart"/>
      <w:r w:rsidR="00403029" w:rsidRPr="00403029">
        <w:rPr>
          <w:rFonts w:ascii="Times New Roman" w:eastAsia="Calibri" w:hAnsi="Times New Roman" w:cs="Times New Roman"/>
          <w:sz w:val="28"/>
          <w:szCs w:val="28"/>
        </w:rPr>
        <w:t>программы  «</w:t>
      </w:r>
      <w:proofErr w:type="gramEnd"/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Энергоснабжение и повышение энергетической эффективности в муниципальном образовании «Тазовский сельсовет» </w:t>
      </w:r>
      <w:proofErr w:type="spellStart"/>
      <w:r w:rsidR="00403029"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</w:t>
      </w:r>
      <w:r w:rsidR="00403029">
        <w:rPr>
          <w:rFonts w:ascii="Times New Roman" w:eastAsia="Calibri" w:hAnsi="Times New Roman" w:cs="Times New Roman"/>
          <w:sz w:val="28"/>
          <w:szCs w:val="28"/>
        </w:rPr>
        <w:t>ской области на период 2016-2023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403029" w:rsidRPr="00403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403029" w:rsidRPr="00403029" w:rsidRDefault="00B708A3" w:rsidP="0040302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467A8E">
        <w:rPr>
          <w:rFonts w:ascii="Times New Roman" w:eastAsia="Calibri" w:hAnsi="Times New Roman" w:cs="Times New Roman"/>
          <w:sz w:val="28"/>
          <w:szCs w:val="28"/>
        </w:rPr>
        <w:t xml:space="preserve">  Раздел</w:t>
      </w:r>
      <w:proofErr w:type="gramEnd"/>
      <w:r w:rsidR="00467A8E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. Ресурсное обеспечение </w:t>
      </w:r>
      <w:r w:rsidR="00467A8E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финансовых ресурсов на 2015-2023 годы за счет средств бюджета Тазовского сельсовета </w:t>
      </w:r>
      <w:proofErr w:type="spellStart"/>
      <w:r w:rsidRPr="00403029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bookmarkEnd w:id="0"/>
      <w:r w:rsidRPr="00403029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необходимых для реализации муниц</w:t>
      </w:r>
      <w:r w:rsidR="00467A8E">
        <w:rPr>
          <w:rFonts w:ascii="Times New Roman" w:eastAsia="Calibri" w:hAnsi="Times New Roman" w:cs="Times New Roman"/>
          <w:sz w:val="28"/>
          <w:szCs w:val="28"/>
        </w:rPr>
        <w:t xml:space="preserve">ипальной программы, составляет </w:t>
      </w:r>
      <w:r w:rsidR="00B708A3">
        <w:rPr>
          <w:rFonts w:ascii="Times New Roman" w:eastAsia="Calibri" w:hAnsi="Times New Roman" w:cs="Times New Roman"/>
          <w:sz w:val="28"/>
          <w:szCs w:val="28"/>
        </w:rPr>
        <w:t>73,1</w:t>
      </w: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Pr="00643F4F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год-   </w:t>
      </w:r>
      <w:r w:rsidR="00B708A3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год-   6,0 тыс. рублей;</w:t>
      </w:r>
    </w:p>
    <w:p w:rsidR="00467A8E" w:rsidRDefault="00467A8E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год-   6,0 тыс. рублей</w:t>
      </w:r>
    </w:p>
    <w:p w:rsidR="00342D5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643F4F" w:rsidRDefault="00342D5F" w:rsidP="00467A8E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Pr="00342D5F" w:rsidRDefault="00B708A3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342D5F" w:rsidRPr="00342D5F">
        <w:rPr>
          <w:rFonts w:ascii="Times New Roman" w:eastAsia="Calibri" w:hAnsi="Times New Roman" w:cs="Times New Roman"/>
          <w:sz w:val="28"/>
          <w:szCs w:val="28"/>
        </w:rPr>
        <w:t>.</w:t>
      </w:r>
      <w:r w:rsidR="00342D5F">
        <w:rPr>
          <w:rFonts w:ascii="Times New Roman" w:eastAsia="Calibri" w:hAnsi="Times New Roman" w:cs="Times New Roman"/>
          <w:sz w:val="28"/>
          <w:szCs w:val="28"/>
        </w:rPr>
        <w:t xml:space="preserve"> Приложение №3 </w:t>
      </w:r>
      <w:r w:rsidR="00342D5F"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2016-2023 </w:t>
      </w:r>
      <w:proofErr w:type="spellStart"/>
      <w:proofErr w:type="gramStart"/>
      <w:r w:rsidRPr="00342D5F">
        <w:rPr>
          <w:rFonts w:ascii="Times New Roman" w:eastAsia="Calibri" w:hAnsi="Times New Roman" w:cs="Times New Roman"/>
          <w:sz w:val="28"/>
          <w:szCs w:val="28"/>
        </w:rPr>
        <w:t>годы»за</w:t>
      </w:r>
      <w:proofErr w:type="spellEnd"/>
      <w:proofErr w:type="gramEnd"/>
      <w:r w:rsidRPr="00342D5F">
        <w:rPr>
          <w:rFonts w:ascii="Times New Roman" w:eastAsia="Calibri" w:hAnsi="Times New Roman" w:cs="Times New Roman"/>
          <w:sz w:val="28"/>
          <w:szCs w:val="28"/>
        </w:rPr>
        <w:t xml:space="preserve"> счет сред</w:t>
      </w:r>
      <w:r>
        <w:rPr>
          <w:rFonts w:ascii="Times New Roman" w:eastAsia="Calibri" w:hAnsi="Times New Roman" w:cs="Times New Roman"/>
          <w:sz w:val="28"/>
          <w:szCs w:val="28"/>
        </w:rPr>
        <w:t>ств местного бюджета в новой редакции (прилагается);</w:t>
      </w:r>
    </w:p>
    <w:p w:rsidR="00342D5F" w:rsidRPr="00342D5F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Default="00B708A3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 Приложение</w:t>
      </w:r>
      <w:proofErr w:type="gramEnd"/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42D5F">
        <w:rPr>
          <w:rFonts w:ascii="Times New Roman" w:eastAsia="Calibri" w:hAnsi="Times New Roman" w:cs="Times New Roman"/>
          <w:sz w:val="28"/>
          <w:szCs w:val="28"/>
        </w:rPr>
        <w:t>4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5F" w:rsidRPr="00342D5F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бюджета Тазовского сельсовета </w:t>
      </w:r>
      <w:proofErr w:type="spellStart"/>
      <w:r w:rsidR="00342D5F"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342D5F"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 «Тазовский сельсовет» </w:t>
      </w:r>
      <w:proofErr w:type="spellStart"/>
      <w:r w:rsidR="00342D5F" w:rsidRPr="00342D5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342D5F" w:rsidRPr="00342D5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2016-2023 годы»</w:t>
      </w:r>
      <w:r w:rsidR="00403029" w:rsidRPr="00403029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(прилагается).</w:t>
      </w:r>
    </w:p>
    <w:p w:rsidR="00342D5F" w:rsidRPr="00403029" w:rsidRDefault="00342D5F" w:rsidP="0034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</w:t>
      </w:r>
      <w:proofErr w:type="gramStart"/>
      <w:r w:rsidRPr="00403029">
        <w:rPr>
          <w:rFonts w:ascii="Times New Roman" w:eastAsia="Calibri" w:hAnsi="Times New Roman" w:cs="Times New Roman"/>
          <w:sz w:val="28"/>
          <w:szCs w:val="28"/>
        </w:rPr>
        <w:t>постановление  на</w:t>
      </w:r>
      <w:proofErr w:type="gramEnd"/>
      <w:r w:rsidRPr="004030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Администрации  Тазовского сельсовета в сети Интернет.</w:t>
      </w: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8"/>
          <w:szCs w:val="28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43F4F" w:rsidRPr="00643F4F" w:rsidRDefault="00403029" w:rsidP="00467A8E">
      <w:pPr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29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5F" w:rsidRDefault="00342D5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43F4F" w:rsidRPr="00643F4F" w:rsidRDefault="00504849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643F4F" w:rsidRPr="00643F4F" w:rsidRDefault="00467A8E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08A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0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708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на период 2016-2023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</w:t>
      </w:r>
      <w:r w:rsidR="00467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период 2016-2023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504849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 казённые учреждения, финансируемые из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Тазовского 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proofErr w:type="gram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Подпрограмма</w:t>
            </w:r>
            <w:proofErr w:type="gram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период 2016 - 2023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целевые инструменты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63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эффективной энергосберегающей политики на территории муниципального образования;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-надежное снабжение потребителей муниципального образования «</w:t>
            </w:r>
            <w:r w:rsidR="0050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Курской области топливно-энергетическими    ресурсами,    повышение эффективности их использования; 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643F4F" w:rsidRPr="00643F4F" w:rsidTr="00504849">
        <w:trPr>
          <w:trHeight w:val="1909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43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эффективность использования энергоресурсов;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энергетической устойчивости работы бюджетных учреждений и организаций;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в бюджетном секторе нормативных (комфортных) условий, связанных с энергообеспечением.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- показатели программы   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программы, в соответствии с постановлением Правительства Российской Федерации           от 31 декабря 2009 г.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  <w:p w:rsidR="00643F4F" w:rsidRPr="00643F4F" w:rsidRDefault="00643F4F" w:rsidP="00B426B8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77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2016-2023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один этап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мун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иципальной программы в 2016-2023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B7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год-   </w:t>
            </w:r>
            <w:r w:rsidR="00B7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  6,0 тыс. рублей;</w:t>
            </w:r>
          </w:p>
          <w:p w:rsidR="00467A8E" w:rsidRPr="00643F4F" w:rsidRDefault="00467A8E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  6,0 тыс. рублей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-объем бюджетных ассигнований на реализацию подпрограммы 1 ««Энергосбережение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B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</w:t>
            </w:r>
            <w:r w:rsidR="00467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</w:t>
            </w:r>
            <w:r w:rsidR="00B7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год-   </w:t>
            </w:r>
            <w:r w:rsidR="00B7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67A8E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  6,0 тыс. рублей;</w:t>
            </w:r>
          </w:p>
          <w:p w:rsidR="00467A8E" w:rsidRPr="00643F4F" w:rsidRDefault="00467A8E" w:rsidP="00467A8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  6,0 тыс. рублей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491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потребления энергии и связанных с этим затрат по учреждениям с наиболее высокими показателями энергоемкости;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ectPr w:rsidR="00643F4F" w:rsidRPr="00643F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504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A71EB9">
        <w:rPr>
          <w:rFonts w:ascii="Times New Roman" w:eastAsia="Calibri" w:hAnsi="Times New Roman" w:cs="Times New Roman"/>
          <w:sz w:val="20"/>
          <w:szCs w:val="20"/>
        </w:rPr>
        <w:t>Тазовский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</w:t>
      </w:r>
      <w:r w:rsidR="00BC210D">
        <w:rPr>
          <w:rFonts w:ascii="Times New Roman" w:eastAsia="Calibri" w:hAnsi="Times New Roman" w:cs="Times New Roman"/>
          <w:sz w:val="20"/>
          <w:szCs w:val="20"/>
        </w:rPr>
        <w:t>16-2023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</w:t>
      </w:r>
      <w:r w:rsidR="00BC210D">
        <w:rPr>
          <w:rFonts w:ascii="Times New Roman" w:eastAsia="Calibri" w:hAnsi="Times New Roman" w:cs="Times New Roman"/>
          <w:b/>
          <w:sz w:val="24"/>
          <w:szCs w:val="24"/>
        </w:rPr>
        <w:t>ской области на период 2016-2023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за счет средств местного бюджета (тыс. руб.)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6154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693"/>
        <w:gridCol w:w="709"/>
        <w:gridCol w:w="709"/>
        <w:gridCol w:w="850"/>
        <w:gridCol w:w="709"/>
        <w:gridCol w:w="689"/>
        <w:gridCol w:w="709"/>
        <w:gridCol w:w="709"/>
        <w:gridCol w:w="567"/>
        <w:gridCol w:w="709"/>
        <w:gridCol w:w="708"/>
        <w:gridCol w:w="851"/>
        <w:gridCol w:w="1700"/>
      </w:tblGrid>
      <w:tr w:rsidR="00432DA7" w:rsidRPr="00643F4F" w:rsidTr="00432DA7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  <w:r w:rsidRPr="00643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основного мероприятия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432DA7" w:rsidRPr="00643F4F" w:rsidTr="00432DA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32DA7" w:rsidRPr="00643F4F" w:rsidTr="00432DA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432DA7" w:rsidRPr="00643F4F" w:rsidTr="00432DA7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счет средств местного бюджета (тыс. руб.)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71E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«Тазовский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кой области на 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годы»  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Тазовского</w:t>
            </w: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A71EB9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A7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1.2.Частичная замена светильников наружного освещения на современные энергосберегающие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F46B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F46B5A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643F4F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A71EB9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Тазовский </w:t>
      </w:r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сельсовет</w:t>
      </w:r>
      <w:proofErr w:type="gramEnd"/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» </w:t>
      </w:r>
      <w:proofErr w:type="spellStart"/>
      <w:r w:rsidR="00643F4F" w:rsidRPr="00643F4F">
        <w:rPr>
          <w:rFonts w:ascii="Times New Roman" w:eastAsia="Calibri" w:hAnsi="Times New Roman" w:cs="Times New Roman"/>
          <w:sz w:val="18"/>
          <w:szCs w:val="18"/>
        </w:rPr>
        <w:t>Золотухинского</w:t>
      </w:r>
      <w:proofErr w:type="spellEnd"/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района Кур</w:t>
      </w:r>
      <w:r w:rsidR="00432DA7">
        <w:rPr>
          <w:rFonts w:ascii="Times New Roman" w:eastAsia="Calibri" w:hAnsi="Times New Roman" w:cs="Times New Roman"/>
          <w:sz w:val="18"/>
          <w:szCs w:val="18"/>
        </w:rPr>
        <w:t>ской области на период 2016-2023</w:t>
      </w:r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643F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Тазовского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</w:t>
      </w:r>
      <w:r w:rsidR="00432DA7">
        <w:rPr>
          <w:rFonts w:ascii="Times New Roman" w:eastAsia="Calibri" w:hAnsi="Times New Roman" w:cs="Times New Roman"/>
          <w:b/>
          <w:sz w:val="24"/>
          <w:szCs w:val="24"/>
        </w:rPr>
        <w:t>ской области на период 2016-2023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65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77"/>
        <w:gridCol w:w="1985"/>
        <w:gridCol w:w="992"/>
        <w:gridCol w:w="1134"/>
        <w:gridCol w:w="1417"/>
        <w:gridCol w:w="1134"/>
        <w:gridCol w:w="851"/>
        <w:gridCol w:w="992"/>
        <w:gridCol w:w="992"/>
        <w:gridCol w:w="992"/>
        <w:gridCol w:w="992"/>
      </w:tblGrid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муниципальной 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F4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</w:t>
            </w:r>
            <w:r w:rsidR="00342D5F">
              <w:rPr>
                <w:rFonts w:ascii="Times New Roman" w:eastAsia="Calibri" w:hAnsi="Times New Roman" w:cs="Times New Roman"/>
                <w:sz w:val="20"/>
                <w:szCs w:val="20"/>
              </w:rPr>
              <w:t>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188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Подпрограмма 1 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432DA7" w:rsidRPr="00643F4F" w:rsidRDefault="00432DA7" w:rsidP="000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</w:t>
            </w:r>
            <w:r w:rsidR="00342D5F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на период 2016-2023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0335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287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432DA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289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34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0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34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39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24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8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27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33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2DA7" w:rsidRPr="00643F4F" w:rsidTr="00432DA7">
        <w:trPr>
          <w:trHeight w:val="210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19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внебюджетные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285"/>
          <w:tblCellSpacing w:w="5" w:type="nil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1.2.Частичная замена светильников наружного освещения на современные энергосберегающие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B708A3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32DA7" w:rsidRPr="00643F4F" w:rsidTr="00432DA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2DA7" w:rsidRPr="00643F4F" w:rsidTr="00432DA7">
        <w:trPr>
          <w:trHeight w:val="231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432DA7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A7" w:rsidRPr="00643F4F" w:rsidRDefault="00342D5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33DAD" w:rsidRDefault="00633DAD"/>
    <w:sectPr w:rsidR="00633DAD" w:rsidSect="00BB6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F"/>
    <w:rsid w:val="00033582"/>
    <w:rsid w:val="00342D5F"/>
    <w:rsid w:val="00403029"/>
    <w:rsid w:val="00432DA7"/>
    <w:rsid w:val="00467A8E"/>
    <w:rsid w:val="00504849"/>
    <w:rsid w:val="005F51C1"/>
    <w:rsid w:val="006061D0"/>
    <w:rsid w:val="00624212"/>
    <w:rsid w:val="00633DAD"/>
    <w:rsid w:val="00643F4F"/>
    <w:rsid w:val="008575A0"/>
    <w:rsid w:val="00874592"/>
    <w:rsid w:val="00A71EB9"/>
    <w:rsid w:val="00AE3D56"/>
    <w:rsid w:val="00B426B8"/>
    <w:rsid w:val="00B708A3"/>
    <w:rsid w:val="00BB6CFA"/>
    <w:rsid w:val="00BC210D"/>
    <w:rsid w:val="00C55692"/>
    <w:rsid w:val="00CA4218"/>
    <w:rsid w:val="00EA7398"/>
    <w:rsid w:val="00F46B5A"/>
    <w:rsid w:val="00F75B50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2900"/>
  <w15:docId w15:val="{9B26F0B9-8920-40C8-B608-1BCFC03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2022-03-21T08:08:00Z</cp:lastPrinted>
  <dcterms:created xsi:type="dcterms:W3CDTF">2021-03-17T13:36:00Z</dcterms:created>
  <dcterms:modified xsi:type="dcterms:W3CDTF">2022-03-21T08:09:00Z</dcterms:modified>
</cp:coreProperties>
</file>